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Northwestern Continuum of Care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Tuesday, Ju</w:t>
      </w:r>
      <w:r>
        <w:rPr>
          <w:rFonts w:cs="Times New Roman" w:ascii="Times New Roman" w:hAnsi="Times New Roman"/>
          <w:b/>
          <w:sz w:val="24"/>
          <w:szCs w:val="24"/>
        </w:rPr>
        <w:t>ly 18</w:t>
      </w:r>
      <w:r>
        <w:rPr>
          <w:rFonts w:cs="Times New Roman" w:ascii="Times New Roman" w:hAnsi="Times New Roman"/>
          <w:b/>
          <w:sz w:val="24"/>
          <w:szCs w:val="24"/>
        </w:rPr>
        <w:t>, 2017 – 10:00 AM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ESG &amp; Rapid Rehousing</w:t>
      </w:r>
      <w:r>
        <w:rPr>
          <w:rFonts w:cs="Times New Roman" w:ascii="Times New Roman" w:hAnsi="Times New Roman"/>
          <w:b/>
          <w:sz w:val="24"/>
          <w:szCs w:val="24"/>
        </w:rPr>
        <w:t xml:space="preserve"> Committee Meeting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Vaya Health Conference Room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Welcome &amp; Agency Updates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HUD funding/CoC Competition (NOFA) preparation </w:t>
      </w:r>
      <w:r>
        <w:rPr>
          <w:rFonts w:cs="Times New Roman" w:ascii="Times New Roman" w:hAnsi="Times New Roman"/>
          <w:sz w:val="24"/>
          <w:szCs w:val="24"/>
        </w:rPr>
        <w:t xml:space="preserve">– All </w:t>
      </w:r>
    </w:p>
    <w:p>
      <w:pPr>
        <w:pStyle w:val="ListParagraph"/>
        <w:numPr>
          <w:ilvl w:val="1"/>
          <w:numId w:val="1"/>
        </w:numPr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The 2017 CoC Competition was opened July 14, 2017</w:t>
      </w:r>
    </w:p>
    <w:p>
      <w:pPr>
        <w:pStyle w:val="ListParagraph"/>
        <w:numPr>
          <w:ilvl w:val="1"/>
          <w:numId w:val="1"/>
        </w:numPr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Applications due September 28, 2017</w:t>
      </w:r>
    </w:p>
    <w:p>
      <w:pPr>
        <w:pStyle w:val="ListParagraph"/>
        <w:numPr>
          <w:ilvl w:val="2"/>
          <w:numId w:val="1"/>
        </w:numPr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PPRN: $819k</w:t>
      </w:r>
    </w:p>
    <w:p>
      <w:pPr>
        <w:pStyle w:val="ListParagraph"/>
        <w:numPr>
          <w:ilvl w:val="2"/>
          <w:numId w:val="1"/>
        </w:numPr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ARD: $27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k</w:t>
      </w:r>
    </w:p>
    <w:p>
      <w:pPr>
        <w:pStyle w:val="ListParagraph"/>
        <w:numPr>
          <w:ilvl w:val="2"/>
          <w:numId w:val="1"/>
        </w:numPr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94% </w:t>
      </w:r>
      <w:r>
        <w:rPr>
          <w:rFonts w:cs="Times New Roman" w:ascii="Times New Roman" w:hAnsi="Times New Roman"/>
          <w:sz w:val="24"/>
          <w:szCs w:val="24"/>
        </w:rPr>
        <w:t>of ARD (Tier 1): $257k</w:t>
      </w:r>
    </w:p>
    <w:p>
      <w:pPr>
        <w:pStyle w:val="ListParagraph"/>
        <w:numPr>
          <w:ilvl w:val="2"/>
          <w:numId w:val="1"/>
        </w:numPr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Eligible Planning amt: $24.5k</w:t>
      </w:r>
    </w:p>
    <w:p>
      <w:pPr>
        <w:pStyle w:val="ListParagraph"/>
        <w:numPr>
          <w:ilvl w:val="2"/>
          <w:numId w:val="1"/>
        </w:numPr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Permanent Housing Bonus: $49k </w:t>
      </w:r>
    </w:p>
    <w:p>
      <w:pPr>
        <w:pStyle w:val="ListParagraph"/>
        <w:spacing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Emergency Solutions Grant and Rapid Rehousing</w:t>
      </w:r>
    </w:p>
    <w:p>
      <w:pPr>
        <w:pStyle w:val="ListParagraph"/>
        <w:numPr>
          <w:ilvl w:val="1"/>
          <w:numId w:val="3"/>
        </w:numPr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As of June 2017, 44% of ESG grant spent down</w:t>
      </w:r>
    </w:p>
    <w:p>
      <w:pPr>
        <w:pStyle w:val="ListParagraph"/>
        <w:numPr>
          <w:ilvl w:val="1"/>
          <w:numId w:val="3"/>
        </w:numPr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New requisition process/paperwork for July req (August)</w:t>
      </w:r>
    </w:p>
    <w:p>
      <w:pPr>
        <w:pStyle w:val="ListParagraph"/>
        <w:numPr>
          <w:ilvl w:val="0"/>
          <w:numId w:val="0"/>
        </w:numPr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Follow up items: </w:t>
      </w:r>
    </w:p>
    <w:p>
      <w:pPr>
        <w:pStyle w:val="ListParagraph"/>
        <w:numPr>
          <w:ilvl w:val="1"/>
          <w:numId w:val="3"/>
        </w:numPr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Regional and Local Data</w:t>
      </w:r>
    </w:p>
    <w:p>
      <w:pPr>
        <w:pStyle w:val="ListParagraph"/>
        <w:numPr>
          <w:ilvl w:val="1"/>
          <w:numId w:val="3"/>
        </w:numPr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Coordinated Entry roll out and training</w:t>
      </w:r>
    </w:p>
    <w:p>
      <w:pPr>
        <w:pStyle w:val="ListParagraph"/>
        <w:numPr>
          <w:ilvl w:val="1"/>
          <w:numId w:val="3"/>
        </w:numPr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Hospital exit planning</w:t>
      </w:r>
    </w:p>
    <w:p>
      <w:pPr>
        <w:pStyle w:val="ListParagraph"/>
        <w:spacing w:before="0" w:after="0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Other Business</w:t>
      </w:r>
    </w:p>
    <w:p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Governance Committee &amp; NC HMIS update - Bob Taylor</w:t>
      </w:r>
    </w:p>
    <w:p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NWCoC Website – Bob Taylor</w:t>
      </w:r>
    </w:p>
    <w:p>
      <w:pPr>
        <w:pStyle w:val="ListParagraph"/>
        <w:spacing w:before="0" w:after="0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Upcoming Meetings and Dates: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July 17-19: NAEH National Homeless Conference, Washington, DC</w:t>
      </w:r>
    </w:p>
    <w:p>
      <w:pPr>
        <w:pStyle w:val="ListParagraph"/>
        <w:numPr>
          <w:ilvl w:val="0"/>
          <w:numId w:val="2"/>
        </w:numPr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September 28: CoC competition deadline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August 15: NWCoC Steering Committee meetings</w:t>
      </w:r>
    </w:p>
    <w:p>
      <w:pPr>
        <w:pStyle w:val="ListParagraph"/>
        <w:spacing w:before="0" w:after="200"/>
        <w:ind w:left="1080" w:hanging="0"/>
        <w:contextualSpacing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51297630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b/>
        <w:rFonts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character" w:styleId="HeaderChar" w:customStyle="1">
    <w:name w:val="Header Char"/>
    <w:basedOn w:val="DefaultParagraphFont"/>
    <w:link w:val="Header"/>
    <w:uiPriority w:val="99"/>
    <w:qFormat/>
    <w:rsid w:val="00e1063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10631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e7321c"/>
    <w:rPr>
      <w:color w:val="800080" w:themeColor="followedHyperlink"/>
      <w:u w:val="single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843c92"/>
    <w:rPr>
      <w:rFonts w:ascii="Calibri" w:hAnsi="Calibri" w:eastAsia="Calibri" w:cs="Times New Roman" w:eastAsiaTheme="minorHAnsi"/>
    </w:rPr>
  </w:style>
  <w:style w:type="character" w:styleId="L1" w:customStyle="1">
    <w:name w:val="l1"/>
    <w:basedOn w:val="DefaultParagraphFont"/>
    <w:qFormat/>
    <w:rsid w:val="00843c9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Times New Roman" w:hAnsi="Times New Roman" w:cs="Courier New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ascii="Times New Roman" w:hAnsi="Times New Roman" w:cs="Courier New"/>
      <w:b/>
      <w:sz w:val="24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ascii="Times New Roman" w:hAnsi="Times New Roman" w:cs="Courier New"/>
      <w:sz w:val="24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rFonts w:cs="Times New Roman"/>
      <w:sz w:val="20"/>
    </w:rPr>
  </w:style>
  <w:style w:type="character" w:styleId="ListLabel87">
    <w:name w:val="ListLabel 87"/>
    <w:qFormat/>
    <w:rPr>
      <w:rFonts w:cs="Times New Roman"/>
      <w:sz w:val="20"/>
    </w:rPr>
  </w:style>
  <w:style w:type="character" w:styleId="ListLabel88">
    <w:name w:val="ListLabel 88"/>
    <w:qFormat/>
    <w:rPr>
      <w:rFonts w:cs="Times New Roman"/>
      <w:sz w:val="20"/>
    </w:rPr>
  </w:style>
  <w:style w:type="character" w:styleId="ListLabel89">
    <w:name w:val="ListLabel 89"/>
    <w:qFormat/>
    <w:rPr>
      <w:rFonts w:cs="Times New Roman"/>
      <w:sz w:val="20"/>
    </w:rPr>
  </w:style>
  <w:style w:type="character" w:styleId="ListLabel90">
    <w:name w:val="ListLabel 90"/>
    <w:qFormat/>
    <w:rPr>
      <w:rFonts w:cs="Times New Roman"/>
      <w:sz w:val="20"/>
    </w:rPr>
  </w:style>
  <w:style w:type="character" w:styleId="ListLabel91">
    <w:name w:val="ListLabel 91"/>
    <w:qFormat/>
    <w:rPr>
      <w:rFonts w:cs="Times New Roman"/>
      <w:sz w:val="20"/>
    </w:rPr>
  </w:style>
  <w:style w:type="character" w:styleId="ListLabel92">
    <w:name w:val="ListLabel 92"/>
    <w:qFormat/>
    <w:rPr>
      <w:rFonts w:cs="Times New Roman"/>
      <w:sz w:val="20"/>
    </w:rPr>
  </w:style>
  <w:style w:type="character" w:styleId="ListLabel93">
    <w:name w:val="ListLabel 93"/>
    <w:qFormat/>
    <w:rPr>
      <w:rFonts w:cs="Times New Roman"/>
      <w:sz w:val="20"/>
    </w:rPr>
  </w:style>
  <w:style w:type="character" w:styleId="ListLabel94">
    <w:name w:val="ListLabel 94"/>
    <w:qFormat/>
    <w:rPr>
      <w:rFonts w:cs="Times New Roman"/>
      <w:sz w:val="20"/>
    </w:rPr>
  </w:style>
  <w:style w:type="character" w:styleId="ListLabel95">
    <w:name w:val="ListLabel 95"/>
    <w:qFormat/>
    <w:rPr>
      <w:rFonts w:cs="Times New Roman"/>
      <w:sz w:val="20"/>
    </w:rPr>
  </w:style>
  <w:style w:type="character" w:styleId="ListLabel96">
    <w:name w:val="ListLabel 96"/>
    <w:qFormat/>
    <w:rPr>
      <w:rFonts w:cs="Times New Roman"/>
      <w:sz w:val="20"/>
    </w:rPr>
  </w:style>
  <w:style w:type="character" w:styleId="ListLabel97">
    <w:name w:val="ListLabel 97"/>
    <w:qFormat/>
    <w:rPr>
      <w:rFonts w:cs="Times New Roman"/>
      <w:sz w:val="20"/>
    </w:rPr>
  </w:style>
  <w:style w:type="character" w:styleId="ListLabel98">
    <w:name w:val="ListLabel 98"/>
    <w:qFormat/>
    <w:rPr>
      <w:rFonts w:cs="Times New Roman"/>
      <w:sz w:val="20"/>
    </w:rPr>
  </w:style>
  <w:style w:type="character" w:styleId="ListLabel99">
    <w:name w:val="ListLabel 99"/>
    <w:qFormat/>
    <w:rPr>
      <w:rFonts w:cs="Times New Roman"/>
      <w:sz w:val="20"/>
    </w:rPr>
  </w:style>
  <w:style w:type="character" w:styleId="ListLabel100">
    <w:name w:val="ListLabel 100"/>
    <w:qFormat/>
    <w:rPr>
      <w:rFonts w:cs="Times New Roman"/>
      <w:sz w:val="20"/>
    </w:rPr>
  </w:style>
  <w:style w:type="character" w:styleId="ListLabel101">
    <w:name w:val="ListLabel 101"/>
    <w:qFormat/>
    <w:rPr>
      <w:rFonts w:cs="Times New Roman"/>
      <w:sz w:val="20"/>
    </w:rPr>
  </w:style>
  <w:style w:type="character" w:styleId="ListLabel102">
    <w:name w:val="ListLabel 102"/>
    <w:qFormat/>
    <w:rPr>
      <w:rFonts w:cs="Times New Roman"/>
      <w:sz w:val="20"/>
    </w:rPr>
  </w:style>
  <w:style w:type="character" w:styleId="ListLabel103">
    <w:name w:val="ListLabel 103"/>
    <w:qFormat/>
    <w:rPr>
      <w:rFonts w:cs="Times New Roman"/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rFonts w:cs="Times New Roman"/>
      <w:sz w:val="20"/>
    </w:rPr>
  </w:style>
  <w:style w:type="character" w:styleId="ListLabel114">
    <w:name w:val="ListLabel 114"/>
    <w:qFormat/>
    <w:rPr>
      <w:rFonts w:cs="Times New Roman"/>
      <w:sz w:val="20"/>
    </w:rPr>
  </w:style>
  <w:style w:type="character" w:styleId="ListLabel115">
    <w:name w:val="ListLabel 115"/>
    <w:qFormat/>
    <w:rPr>
      <w:rFonts w:cs="Times New Roman"/>
      <w:sz w:val="20"/>
    </w:rPr>
  </w:style>
  <w:style w:type="character" w:styleId="ListLabel116">
    <w:name w:val="ListLabel 116"/>
    <w:qFormat/>
    <w:rPr>
      <w:rFonts w:cs="Times New Roman"/>
      <w:sz w:val="20"/>
    </w:rPr>
  </w:style>
  <w:style w:type="character" w:styleId="ListLabel117">
    <w:name w:val="ListLabel 117"/>
    <w:qFormat/>
    <w:rPr>
      <w:rFonts w:cs="Times New Roman"/>
      <w:sz w:val="20"/>
    </w:rPr>
  </w:style>
  <w:style w:type="character" w:styleId="ListLabel118">
    <w:name w:val="ListLabel 118"/>
    <w:qFormat/>
    <w:rPr>
      <w:rFonts w:cs="Times New Roman"/>
      <w:sz w:val="20"/>
    </w:rPr>
  </w:style>
  <w:style w:type="character" w:styleId="ListLabel119">
    <w:name w:val="ListLabel 119"/>
    <w:qFormat/>
    <w:rPr>
      <w:rFonts w:cs="Times New Roman"/>
      <w:sz w:val="20"/>
    </w:rPr>
  </w:style>
  <w:style w:type="character" w:styleId="ListLabel120">
    <w:name w:val="ListLabel 120"/>
    <w:qFormat/>
    <w:rPr>
      <w:rFonts w:cs="Times New Roman"/>
      <w:sz w:val="20"/>
    </w:rPr>
  </w:style>
  <w:style w:type="character" w:styleId="ListLabel121">
    <w:name w:val="ListLabel 121"/>
    <w:qFormat/>
    <w:rPr>
      <w:rFonts w:cs="Times New Roman"/>
      <w:sz w:val="20"/>
    </w:rPr>
  </w:style>
  <w:style w:type="character" w:styleId="ListLabel122">
    <w:name w:val="ListLabel 122"/>
    <w:qFormat/>
    <w:rPr>
      <w:rFonts w:cs="Times New Roman"/>
      <w:sz w:val="20"/>
    </w:rPr>
  </w:style>
  <w:style w:type="character" w:styleId="ListLabel123">
    <w:name w:val="ListLabel 123"/>
    <w:qFormat/>
    <w:rPr>
      <w:rFonts w:cs="Times New Roman"/>
      <w:sz w:val="20"/>
    </w:rPr>
  </w:style>
  <w:style w:type="character" w:styleId="ListLabel124">
    <w:name w:val="ListLabel 124"/>
    <w:qFormat/>
    <w:rPr>
      <w:rFonts w:cs="Times New Roman"/>
      <w:sz w:val="20"/>
    </w:rPr>
  </w:style>
  <w:style w:type="character" w:styleId="ListLabel125">
    <w:name w:val="ListLabel 125"/>
    <w:qFormat/>
    <w:rPr>
      <w:rFonts w:cs="Times New Roman"/>
      <w:sz w:val="20"/>
    </w:rPr>
  </w:style>
  <w:style w:type="character" w:styleId="ListLabel126">
    <w:name w:val="ListLabel 126"/>
    <w:qFormat/>
    <w:rPr>
      <w:rFonts w:cs="Times New Roman"/>
      <w:sz w:val="20"/>
    </w:rPr>
  </w:style>
  <w:style w:type="character" w:styleId="ListLabel127">
    <w:name w:val="ListLabel 127"/>
    <w:qFormat/>
    <w:rPr>
      <w:rFonts w:cs="Times New Roman"/>
      <w:sz w:val="20"/>
    </w:rPr>
  </w:style>
  <w:style w:type="character" w:styleId="ListLabel128">
    <w:name w:val="ListLabel 128"/>
    <w:qFormat/>
    <w:rPr>
      <w:rFonts w:cs="Times New Roman"/>
      <w:sz w:val="20"/>
    </w:rPr>
  </w:style>
  <w:style w:type="character" w:styleId="ListLabel129">
    <w:name w:val="ListLabel 129"/>
    <w:qFormat/>
    <w:rPr>
      <w:rFonts w:cs="Times New Roman"/>
      <w:sz w:val="20"/>
    </w:rPr>
  </w:style>
  <w:style w:type="character" w:styleId="ListLabel130">
    <w:name w:val="ListLabel 130"/>
    <w:qFormat/>
    <w:rPr>
      <w:rFonts w:cs="Times New Roman"/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b1124e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170e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cd4d37"/>
    <w:pPr>
      <w:spacing w:lineRule="auto" w:line="240" w:beforeAutospacing="1" w:afterAutospacing="1"/>
    </w:pPr>
    <w:rPr>
      <w:rFonts w:ascii="Times New Roman" w:hAnsi="Times New Roman" w:eastAsia="Calibri" w:cs="Times New Roman"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e55522"/>
    <w:pPr>
      <w:widowControl/>
      <w:bidi w:val="0"/>
      <w:spacing w:lineRule="auto" w:line="240" w:before="0" w:after="0"/>
      <w:jc w:val="left"/>
    </w:pPr>
    <w:rPr>
      <w:rFonts w:ascii="Calibri" w:hAnsi="Calibri" w:cs="Calibri" w:eastAsia="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843c92"/>
    <w:pPr>
      <w:spacing w:lineRule="auto" w:line="240" w:before="0" w:after="0"/>
    </w:pPr>
    <w:rPr>
      <w:rFonts w:ascii="Calibri" w:hAnsi="Calibri" w:eastAsia="Calibri" w:cs="Times New Roman" w:eastAsiaTheme="minorHAnsi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LibreOffice/5.0.6.2$Linux_X86_64 LibreOffice_project/00m0$Build-2</Application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2017-05-12T17:41:00Z</dcterms:created>
  <dc:creator>Jennifer Herman</dc:creator>
  <dc:language>en-US</dc:language>
  <cp:lastPrinted>2015-11-10T18:04:00Z</cp:lastPrinted>
  <dcterms:modified xsi:type="dcterms:W3CDTF">2017-07-14T15:24:42Z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